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CA2" w:rsidRPr="003D1713" w:rsidRDefault="00A27CA2" w:rsidP="00A27CA2">
      <w:pPr>
        <w:spacing w:before="100" w:beforeAutospacing="1" w:after="345" w:line="240" w:lineRule="auto"/>
        <w:rPr>
          <w:rFonts w:ascii="Arial" w:eastAsia="Times New Roman" w:hAnsi="Arial" w:cs="Arial"/>
          <w:b/>
          <w:bCs/>
          <w:lang w:eastAsia="lv-LV"/>
        </w:rPr>
      </w:pPr>
      <w:r w:rsidRPr="003D1713">
        <w:rPr>
          <w:rFonts w:ascii="Arial" w:eastAsia="Times New Roman" w:hAnsi="Arial" w:cs="Arial"/>
          <w:b/>
          <w:bCs/>
          <w:lang w:eastAsia="lv-LV"/>
        </w:rPr>
        <w:t xml:space="preserve">SIA </w:t>
      </w:r>
      <w:proofErr w:type="spellStart"/>
      <w:r w:rsidRPr="003D1713">
        <w:rPr>
          <w:rFonts w:ascii="Arial" w:eastAsia="Times New Roman" w:hAnsi="Arial" w:cs="Arial"/>
          <w:b/>
          <w:bCs/>
          <w:lang w:eastAsia="lv-LV"/>
        </w:rPr>
        <w:t>SebrMet</w:t>
      </w:r>
      <w:proofErr w:type="spellEnd"/>
      <w:r w:rsidRPr="003D1713">
        <w:rPr>
          <w:rFonts w:ascii="Arial" w:eastAsia="Times New Roman" w:hAnsi="Arial" w:cs="Arial"/>
          <w:b/>
          <w:bCs/>
          <w:lang w:eastAsia="lv-LV"/>
        </w:rPr>
        <w:t xml:space="preserve"> metāllūžņu pieņemšanas noteikumi:</w:t>
      </w:r>
    </w:p>
    <w:p w:rsidR="00A27CA2" w:rsidRPr="002B582D" w:rsidRDefault="00A27CA2" w:rsidP="00A27CA2">
      <w:pPr>
        <w:pStyle w:val="ListParagraph"/>
        <w:numPr>
          <w:ilvl w:val="0"/>
          <w:numId w:val="1"/>
        </w:numPr>
        <w:rPr>
          <w:rFonts w:ascii="Arial" w:eastAsia="Times New Roman" w:hAnsi="Arial" w:cs="Arial"/>
          <w:bCs/>
          <w:lang w:eastAsia="lv-LV"/>
        </w:rPr>
      </w:pPr>
      <w:r w:rsidRPr="002B582D">
        <w:rPr>
          <w:rFonts w:ascii="Arial" w:eastAsia="Times New Roman" w:hAnsi="Arial" w:cs="Arial"/>
          <w:bCs/>
          <w:lang w:eastAsia="lv-LV"/>
        </w:rPr>
        <w:t>Klients uzbrauc uz sertificēties svariem un uzzin bruto svaru.</w:t>
      </w:r>
    </w:p>
    <w:p w:rsidR="00A27CA2" w:rsidRPr="002B582D" w:rsidRDefault="001E3A54" w:rsidP="00A27CA2">
      <w:pPr>
        <w:pStyle w:val="ListParagraph"/>
        <w:numPr>
          <w:ilvl w:val="0"/>
          <w:numId w:val="1"/>
        </w:numPr>
        <w:rPr>
          <w:rFonts w:ascii="Arial" w:eastAsia="Times New Roman" w:hAnsi="Arial" w:cs="Arial"/>
          <w:bCs/>
          <w:lang w:eastAsia="lv-LV"/>
        </w:rPr>
      </w:pPr>
      <w:r w:rsidRPr="002B582D">
        <w:rPr>
          <w:rFonts w:ascii="Arial" w:eastAsia="Times New Roman" w:hAnsi="Arial" w:cs="Arial"/>
          <w:bCs/>
          <w:lang w:eastAsia="lv-LV"/>
        </w:rPr>
        <w:t>Pēc svara noteikšanas, Klients jādodas uz izkr</w:t>
      </w:r>
      <w:r w:rsidR="003D1713">
        <w:rPr>
          <w:rFonts w:ascii="Arial" w:eastAsia="Times New Roman" w:hAnsi="Arial" w:cs="Arial"/>
          <w:bCs/>
          <w:lang w:eastAsia="lv-LV"/>
        </w:rPr>
        <w:t>aušanas vietu, kur tiek pieņemti</w:t>
      </w:r>
      <w:r w:rsidRPr="002B582D">
        <w:rPr>
          <w:rFonts w:ascii="Arial" w:eastAsia="Times New Roman" w:hAnsi="Arial" w:cs="Arial"/>
          <w:bCs/>
          <w:lang w:eastAsia="lv-LV"/>
        </w:rPr>
        <w:t xml:space="preserve"> metāllūžņi un noteikta tā kategorija un aizsērējuma pakāpe.</w:t>
      </w:r>
    </w:p>
    <w:p w:rsidR="004559C7" w:rsidRPr="002B582D" w:rsidRDefault="00BD3D4D" w:rsidP="00A27CA2">
      <w:pPr>
        <w:pStyle w:val="ListParagraph"/>
        <w:numPr>
          <w:ilvl w:val="0"/>
          <w:numId w:val="1"/>
        </w:numPr>
        <w:rPr>
          <w:rFonts w:ascii="Arial" w:eastAsia="Times New Roman" w:hAnsi="Arial" w:cs="Arial"/>
          <w:bCs/>
          <w:lang w:eastAsia="lv-LV"/>
        </w:rPr>
      </w:pPr>
      <w:r w:rsidRPr="002B582D">
        <w:rPr>
          <w:rFonts w:ascii="Arial" w:eastAsia="Times New Roman" w:hAnsi="Arial" w:cs="Arial"/>
          <w:bCs/>
          <w:lang w:eastAsia="lv-LV"/>
        </w:rPr>
        <w:t xml:space="preserve">Klientam jādodas uz svariem lai fiksētu taras svaru. </w:t>
      </w:r>
    </w:p>
    <w:p w:rsidR="002A5FE3" w:rsidRPr="002B582D" w:rsidRDefault="002A5FE3" w:rsidP="00A27CA2">
      <w:pPr>
        <w:pStyle w:val="ListParagraph"/>
        <w:numPr>
          <w:ilvl w:val="0"/>
          <w:numId w:val="1"/>
        </w:numPr>
        <w:rPr>
          <w:rFonts w:ascii="Arial" w:eastAsia="Times New Roman" w:hAnsi="Arial" w:cs="Arial"/>
          <w:bCs/>
          <w:lang w:eastAsia="lv-LV"/>
        </w:rPr>
      </w:pPr>
      <w:r w:rsidRPr="002B582D">
        <w:rPr>
          <w:rFonts w:ascii="Arial" w:eastAsia="Times New Roman" w:hAnsi="Arial" w:cs="Arial"/>
          <w:bCs/>
          <w:lang w:eastAsia="lv-LV"/>
        </w:rPr>
        <w:t>Klients iesniedz savu personas apliecinošu dokumentu un norēķinu kontu.</w:t>
      </w:r>
    </w:p>
    <w:p w:rsidR="002A5FE3" w:rsidRPr="002B582D" w:rsidRDefault="008377A0" w:rsidP="00A27CA2">
      <w:pPr>
        <w:pStyle w:val="ListParagraph"/>
        <w:numPr>
          <w:ilvl w:val="0"/>
          <w:numId w:val="1"/>
        </w:numPr>
        <w:rPr>
          <w:rFonts w:ascii="Arial" w:eastAsia="Times New Roman" w:hAnsi="Arial" w:cs="Arial"/>
          <w:bCs/>
          <w:lang w:eastAsia="lv-LV"/>
        </w:rPr>
      </w:pPr>
      <w:r w:rsidRPr="002B582D">
        <w:rPr>
          <w:rFonts w:ascii="Arial" w:eastAsia="Times New Roman" w:hAnsi="Arial" w:cs="Arial"/>
          <w:bCs/>
          <w:lang w:eastAsia="lv-LV"/>
        </w:rPr>
        <w:t>Tiek noformēšana pieņemšanas nodošanas akta, pamatojoties uz datiem par metāla pieņemšanu.</w:t>
      </w:r>
    </w:p>
    <w:p w:rsidR="008377A0" w:rsidRPr="002B582D" w:rsidRDefault="008377A0" w:rsidP="00A27CA2">
      <w:pPr>
        <w:pStyle w:val="ListParagraph"/>
        <w:numPr>
          <w:ilvl w:val="0"/>
          <w:numId w:val="1"/>
        </w:numPr>
        <w:rPr>
          <w:rFonts w:ascii="Arial" w:eastAsia="Times New Roman" w:hAnsi="Arial" w:cs="Arial"/>
          <w:bCs/>
          <w:lang w:eastAsia="lv-LV"/>
        </w:rPr>
      </w:pPr>
      <w:r w:rsidRPr="002B582D">
        <w:rPr>
          <w:rFonts w:ascii="Arial" w:eastAsia="Times New Roman" w:hAnsi="Arial" w:cs="Arial"/>
          <w:bCs/>
          <w:lang w:eastAsia="lv-LV"/>
        </w:rPr>
        <w:t xml:space="preserve">Pieņemšanas nodošanas aktu paraksta puses. </w:t>
      </w:r>
    </w:p>
    <w:p w:rsidR="008377A0" w:rsidRPr="002B582D" w:rsidRDefault="008377A0" w:rsidP="00A27CA2">
      <w:pPr>
        <w:pStyle w:val="ListParagraph"/>
        <w:numPr>
          <w:ilvl w:val="0"/>
          <w:numId w:val="1"/>
        </w:numPr>
        <w:rPr>
          <w:rFonts w:ascii="Arial" w:eastAsia="Times New Roman" w:hAnsi="Arial" w:cs="Arial"/>
          <w:bCs/>
          <w:lang w:eastAsia="lv-LV"/>
        </w:rPr>
      </w:pPr>
      <w:r w:rsidRPr="002B582D">
        <w:rPr>
          <w:rFonts w:ascii="Arial" w:eastAsia="Times New Roman" w:hAnsi="Arial" w:cs="Arial"/>
          <w:bCs/>
          <w:lang w:eastAsia="lv-LV"/>
        </w:rPr>
        <w:t>Līdzekļi tiek pārskaitīti uz klienta norādīto bankas kontu 3 darba dienu laikā, bet parasti metāla apmaksa tiek veikta tajā pašā dienā.</w:t>
      </w:r>
    </w:p>
    <w:p w:rsidR="004559C7" w:rsidRPr="002B582D" w:rsidRDefault="004559C7" w:rsidP="004559C7">
      <w:pPr>
        <w:pStyle w:val="ListParagraph"/>
        <w:spacing w:before="100" w:beforeAutospacing="1" w:after="345" w:line="240" w:lineRule="auto"/>
        <w:rPr>
          <w:rFonts w:ascii="Arial" w:eastAsia="Times New Roman" w:hAnsi="Arial" w:cs="Arial"/>
          <w:bCs/>
          <w:lang w:eastAsia="lv-LV"/>
        </w:rPr>
      </w:pPr>
    </w:p>
    <w:p w:rsidR="008377A0" w:rsidRPr="002B582D" w:rsidRDefault="00895617" w:rsidP="00895617">
      <w:pPr>
        <w:spacing w:before="100" w:beforeAutospacing="1" w:after="345" w:line="240" w:lineRule="auto"/>
        <w:rPr>
          <w:rFonts w:ascii="Arial" w:eastAsia="Times New Roman" w:hAnsi="Arial" w:cs="Arial"/>
          <w:bCs/>
          <w:lang w:eastAsia="lv-LV"/>
        </w:rPr>
      </w:pPr>
      <w:r w:rsidRPr="002B582D">
        <w:rPr>
          <w:rFonts w:ascii="Arial" w:eastAsia="Times New Roman" w:hAnsi="Arial" w:cs="Arial"/>
          <w:bCs/>
          <w:lang w:eastAsia="lv-LV"/>
        </w:rPr>
        <w:t>Krāsaino un melno metāllūžņu pieņemšanu Latvijā regulē Latvijas Republikas MK noteikumi Nr.960 “Noteikumi par kārtību, kādā iepērk un realizē melno un krāsaino metālu atgriezumus un lūžņus un izsniedz licences metālu atgriezumu un lūžņu iepirkšanai Latvijā, kā arī par valsts nodevas likmi par licenci metālu atgriezumu un lūžņu iepirkšanai un valsts nodevas maksāšanas kārtību”. Personai ir jāiesniedz identifikācijas dokuments: pase vai ID karte. Personai ir jāsniedz arī informācija par personīgo bankas kontu, kurš tiks izmantots apmaksas veikšanai. Darījuma rezultātā tiek sastādīts metāllūžņu nodošanas un pieņemšanas akts.</w:t>
      </w:r>
    </w:p>
    <w:p w:rsidR="00895617" w:rsidRPr="002B582D" w:rsidRDefault="002B582D" w:rsidP="00895617">
      <w:pPr>
        <w:spacing w:before="100" w:beforeAutospacing="1" w:after="345" w:line="240" w:lineRule="auto"/>
        <w:rPr>
          <w:rFonts w:ascii="Arial" w:eastAsia="Times New Roman" w:hAnsi="Arial" w:cs="Arial"/>
          <w:bCs/>
          <w:lang w:eastAsia="lv-LV"/>
        </w:rPr>
      </w:pPr>
      <w:r w:rsidRPr="002B582D">
        <w:rPr>
          <w:rFonts w:ascii="Arial" w:eastAsia="Times New Roman" w:hAnsi="Arial" w:cs="Arial"/>
          <w:bCs/>
          <w:lang w:eastAsia="lv-LV"/>
        </w:rPr>
        <w:t>Metāllūžņu kopējā izmaksa tiek aprēķināta pēc šādiem parametriem: metāllūžņu daudzums un kvalitāte, un iepirkuma cenas, kas noteikta un ir spēkā piegādes dienā. Jāatzīmē, ka pieņēmējs arī novērtē kravu uz piesārņojumu un nosaka aizsērējuma procentu .</w:t>
      </w:r>
    </w:p>
    <w:p w:rsidR="00A27CA2" w:rsidRDefault="00A27CA2" w:rsidP="002B582D">
      <w:pPr>
        <w:spacing w:before="100" w:beforeAutospacing="1" w:after="345" w:line="240" w:lineRule="auto"/>
        <w:rPr>
          <w:rFonts w:ascii="Arial" w:eastAsia="Times New Roman" w:hAnsi="Arial" w:cs="Arial"/>
          <w:bCs/>
          <w:lang w:eastAsia="lv-LV"/>
        </w:rPr>
      </w:pPr>
      <w:r w:rsidRPr="002B582D">
        <w:rPr>
          <w:rFonts w:ascii="Arial" w:eastAsia="Times New Roman" w:hAnsi="Arial" w:cs="Arial"/>
          <w:bCs/>
          <w:lang w:eastAsia="lv-LV"/>
        </w:rPr>
        <w:t>Lūdzu, ņemiet vērā, ka saskaņā ar likumu Latvijas Republikā "Par iedzīvotāju ienākuma nodokli", kas pieņemti 01.01.2012; iegādei metāllūžņu no privātpersonām tiek atskaitīts ienākuma nodoklis 10% apmērā. Juridiskas personas pašas ir atbildīgas par nodokļu samaksu Latvijas budžetā.</w:t>
      </w:r>
    </w:p>
    <w:p w:rsidR="005833C1" w:rsidRPr="00D73DE8" w:rsidRDefault="005833C1" w:rsidP="00A27CA2">
      <w:pPr>
        <w:rPr>
          <w:rFonts w:ascii="Arial" w:hAnsi="Arial" w:cs="Arial"/>
        </w:rPr>
      </w:pPr>
      <w:r w:rsidRPr="00D73DE8">
        <w:rPr>
          <w:rFonts w:ascii="Arial" w:hAnsi="Arial" w:cs="Arial"/>
        </w:rPr>
        <w:t>Šādus produktus SIA SebrMet var pieņemt tikai no juridiskām personām ar īpašām atļaujām:</w:t>
      </w:r>
    </w:p>
    <w:p w:rsidR="005833C1" w:rsidRPr="005833C1" w:rsidRDefault="00A27CA2" w:rsidP="005833C1">
      <w:pPr>
        <w:pStyle w:val="ListParagraph"/>
        <w:numPr>
          <w:ilvl w:val="0"/>
          <w:numId w:val="4"/>
        </w:numPr>
        <w:rPr>
          <w:rFonts w:ascii="Arial" w:hAnsi="Arial" w:cs="Arial"/>
          <w:lang w:val="ru-RU"/>
        </w:rPr>
      </w:pPr>
      <w:r w:rsidRPr="005833C1">
        <w:rPr>
          <w:rFonts w:ascii="Arial" w:hAnsi="Arial" w:cs="Arial"/>
          <w:lang w:val="ru-RU"/>
        </w:rPr>
        <w:t>elektro- un telekomunikāciju vadi,</w:t>
      </w:r>
    </w:p>
    <w:p w:rsidR="005833C1" w:rsidRPr="005833C1" w:rsidRDefault="00A27CA2" w:rsidP="005833C1">
      <w:pPr>
        <w:pStyle w:val="ListParagraph"/>
        <w:numPr>
          <w:ilvl w:val="0"/>
          <w:numId w:val="4"/>
        </w:numPr>
        <w:rPr>
          <w:rFonts w:ascii="Arial" w:hAnsi="Arial" w:cs="Arial"/>
          <w:lang w:val="ru-RU"/>
        </w:rPr>
      </w:pPr>
      <w:r w:rsidRPr="005833C1">
        <w:rPr>
          <w:rFonts w:ascii="Arial" w:hAnsi="Arial" w:cs="Arial"/>
          <w:lang w:val="ru-RU"/>
        </w:rPr>
        <w:t>ceļa zīmes, gāzes baloni, kanalizācijas lūkas, dzelzceļa sliedes,</w:t>
      </w:r>
    </w:p>
    <w:p w:rsidR="005833C1" w:rsidRPr="005833C1" w:rsidRDefault="00A27CA2" w:rsidP="005833C1">
      <w:pPr>
        <w:pStyle w:val="ListParagraph"/>
        <w:numPr>
          <w:ilvl w:val="0"/>
          <w:numId w:val="4"/>
        </w:numPr>
        <w:rPr>
          <w:rFonts w:ascii="Arial" w:hAnsi="Arial" w:cs="Arial"/>
          <w:lang w:val="ru-RU"/>
        </w:rPr>
      </w:pPr>
      <w:r w:rsidRPr="005833C1">
        <w:rPr>
          <w:rFonts w:ascii="Arial" w:hAnsi="Arial" w:cs="Arial"/>
          <w:lang w:val="ru-RU"/>
        </w:rPr>
        <w:t xml:space="preserve">viegli uzliesmojoši priekšmeti, piemēram, </w:t>
      </w:r>
      <w:r w:rsidR="005833C1" w:rsidRPr="005833C1">
        <w:rPr>
          <w:rFonts w:ascii="Arial" w:hAnsi="Arial" w:cs="Arial"/>
          <w:lang w:val="ru-RU"/>
        </w:rPr>
        <w:t>čaumalas un lodās</w:t>
      </w:r>
      <w:r w:rsidRPr="005833C1">
        <w:rPr>
          <w:rFonts w:ascii="Arial" w:hAnsi="Arial" w:cs="Arial"/>
          <w:lang w:val="ru-RU"/>
        </w:rPr>
        <w:t>,</w:t>
      </w:r>
      <w:bookmarkStart w:id="0" w:name="_GoBack"/>
      <w:bookmarkEnd w:id="0"/>
    </w:p>
    <w:p w:rsidR="00A27CA2" w:rsidRPr="005833C1" w:rsidRDefault="00A27CA2" w:rsidP="005833C1">
      <w:pPr>
        <w:pStyle w:val="ListParagraph"/>
        <w:numPr>
          <w:ilvl w:val="0"/>
          <w:numId w:val="4"/>
        </w:numPr>
        <w:rPr>
          <w:rFonts w:ascii="Arial" w:hAnsi="Arial" w:cs="Arial"/>
          <w:lang w:val="ru-RU"/>
        </w:rPr>
      </w:pPr>
      <w:r w:rsidRPr="005833C1">
        <w:rPr>
          <w:rFonts w:ascii="Arial" w:hAnsi="Arial" w:cs="Arial"/>
          <w:lang w:val="ru-RU"/>
        </w:rPr>
        <w:t>rituāli izstrādājumi no kapsētām.</w:t>
      </w:r>
    </w:p>
    <w:p w:rsidR="00BA02DC" w:rsidRDefault="00BA02DC"/>
    <w:p w:rsidR="003D1713" w:rsidRPr="003D1713" w:rsidRDefault="003D1713" w:rsidP="003D1713">
      <w:pPr>
        <w:spacing w:after="0" w:line="240" w:lineRule="auto"/>
        <w:rPr>
          <w:rFonts w:ascii="Arial" w:eastAsia="Times New Roman" w:hAnsi="Arial" w:cs="Arial"/>
          <w:b/>
          <w:bCs/>
          <w:i/>
          <w:lang w:eastAsia="lv-LV"/>
        </w:rPr>
      </w:pPr>
      <w:r>
        <w:rPr>
          <w:rFonts w:ascii="Arial" w:eastAsia="Times New Roman" w:hAnsi="Arial" w:cs="Arial"/>
          <w:b/>
          <w:bCs/>
          <w:i/>
          <w:lang w:eastAsia="lv-LV"/>
        </w:rPr>
        <w:t>Latvijas Republikas MK noteikums</w:t>
      </w:r>
      <w:r w:rsidRPr="003D1713">
        <w:rPr>
          <w:rFonts w:ascii="Arial" w:eastAsia="Times New Roman" w:hAnsi="Arial" w:cs="Arial"/>
          <w:b/>
          <w:bCs/>
          <w:i/>
          <w:lang w:eastAsia="lv-LV"/>
        </w:rPr>
        <w:t xml:space="preserve"> Nr.960 “Noteikumi par kārtību, kādā iepērk un realizē melno un krāsaino metālu atgriezumus un lūžņus un izsniedz licences metālu atgriezumu un lūžņu iepirkšanai Latvijā, kā arī par valsts nodevas likmi par licenci metālu atgriezumu un lūžņu iepirkšanai un valsts nodevas maksāšanas </w:t>
      </w:r>
      <w:r w:rsidRPr="003D1713">
        <w:rPr>
          <w:rFonts w:ascii="Arial" w:eastAsia="Times New Roman" w:hAnsi="Arial" w:cs="Arial"/>
          <w:b/>
          <w:bCs/>
          <w:i/>
          <w:lang w:eastAsia="lv-LV"/>
        </w:rPr>
        <w:t>kārtību”</w:t>
      </w:r>
    </w:p>
    <w:p w:rsidR="003D1713" w:rsidRPr="003D1713" w:rsidRDefault="003D1713" w:rsidP="003D1713">
      <w:pPr>
        <w:rPr>
          <w:rFonts w:ascii="Arial" w:hAnsi="Arial" w:cs="Arial"/>
        </w:rPr>
      </w:pPr>
      <w:hyperlink r:id="rId5" w:history="1">
        <w:r w:rsidRPr="003D1713">
          <w:rPr>
            <w:rFonts w:ascii="Arial" w:hAnsi="Arial" w:cs="Arial"/>
          </w:rPr>
          <w:t>http://likumi.lv/ta/id/241854-noteikumi-par-kartibu-kada-ieperk-un-realize-melno-un-krasaino-metalu-atgriezumus-un-luznus-un-izsniedz-licences-metalu-atgriezumu-un-luznu-iepirksanai-latvija-ka-ari-par-valsts-nodevas-likmi-par-licenci-metalu-atgriezumu-un-luznu-iepirksanai-un-valsts-nodevas-maksasanas-kartibu</w:t>
        </w:r>
      </w:hyperlink>
    </w:p>
    <w:p w:rsidR="003D1713" w:rsidRPr="003D1713" w:rsidRDefault="003D1713" w:rsidP="003D1713">
      <w:pPr>
        <w:spacing w:after="0" w:line="240" w:lineRule="auto"/>
        <w:rPr>
          <w:rFonts w:ascii="Arial" w:hAnsi="Arial" w:cs="Arial"/>
          <w:b/>
          <w:i/>
          <w:color w:val="000000"/>
          <w:sz w:val="21"/>
          <w:szCs w:val="21"/>
        </w:rPr>
      </w:pPr>
    </w:p>
    <w:p w:rsidR="003D1713" w:rsidRPr="003D1713" w:rsidRDefault="003D1713" w:rsidP="003D1713">
      <w:pPr>
        <w:spacing w:after="0" w:line="240" w:lineRule="auto"/>
        <w:rPr>
          <w:rFonts w:ascii="Arial" w:eastAsia="Times New Roman" w:hAnsi="Arial" w:cs="Arial"/>
          <w:b/>
          <w:bCs/>
          <w:i/>
          <w:lang w:eastAsia="lv-LV"/>
        </w:rPr>
      </w:pPr>
      <w:r w:rsidRPr="003D1713">
        <w:rPr>
          <w:rFonts w:ascii="Arial" w:eastAsia="Times New Roman" w:hAnsi="Arial" w:cs="Arial"/>
          <w:b/>
          <w:bCs/>
          <w:i/>
          <w:lang w:eastAsia="lv-LV"/>
        </w:rPr>
        <w:t>Likums</w:t>
      </w:r>
      <w:r w:rsidRPr="003D1713">
        <w:rPr>
          <w:rFonts w:ascii="Arial" w:eastAsia="Times New Roman" w:hAnsi="Arial" w:cs="Arial"/>
          <w:b/>
          <w:bCs/>
          <w:i/>
          <w:lang w:eastAsia="lv-LV"/>
        </w:rPr>
        <w:t xml:space="preserve"> Latvijas Republikā "Par iedzīvotāju ienākuma nodokli"</w:t>
      </w:r>
    </w:p>
    <w:p w:rsidR="003D1713" w:rsidRPr="003D1713" w:rsidRDefault="003D1713" w:rsidP="003D1713">
      <w:pPr>
        <w:spacing w:after="0" w:line="240" w:lineRule="auto"/>
        <w:rPr>
          <w:rFonts w:ascii="Arial" w:hAnsi="Arial" w:cs="Arial"/>
        </w:rPr>
      </w:pPr>
      <w:hyperlink r:id="rId6" w:history="1">
        <w:r w:rsidRPr="003D1713">
          <w:rPr>
            <w:rFonts w:ascii="Arial" w:eastAsia="Times New Roman" w:hAnsi="Arial" w:cs="Arial"/>
            <w:bCs/>
            <w:lang w:eastAsia="lv-LV"/>
          </w:rPr>
          <w:t>http://likumi.lv/doc.php?id=56880</w:t>
        </w:r>
      </w:hyperlink>
    </w:p>
    <w:p w:rsidR="003D1713" w:rsidRPr="003D1713" w:rsidRDefault="003D1713">
      <w:pPr>
        <w:rPr>
          <w:lang w:val="en-GB"/>
        </w:rPr>
      </w:pPr>
    </w:p>
    <w:sectPr w:rsidR="003D1713" w:rsidRPr="003D1713" w:rsidSect="006828D0">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93B91"/>
    <w:multiLevelType w:val="hybridMultilevel"/>
    <w:tmpl w:val="91A6F7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3D6D11"/>
    <w:multiLevelType w:val="hybridMultilevel"/>
    <w:tmpl w:val="E67253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060218"/>
    <w:multiLevelType w:val="hybridMultilevel"/>
    <w:tmpl w:val="0BF2B9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0F05472"/>
    <w:multiLevelType w:val="hybridMultilevel"/>
    <w:tmpl w:val="2FC4EE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A2"/>
    <w:rsid w:val="000D3E5A"/>
    <w:rsid w:val="00115084"/>
    <w:rsid w:val="001E3A54"/>
    <w:rsid w:val="002A5FE3"/>
    <w:rsid w:val="002B582D"/>
    <w:rsid w:val="003D1713"/>
    <w:rsid w:val="004559C7"/>
    <w:rsid w:val="005833C1"/>
    <w:rsid w:val="008377A0"/>
    <w:rsid w:val="00895617"/>
    <w:rsid w:val="00A27CA2"/>
    <w:rsid w:val="00BA02DC"/>
    <w:rsid w:val="00BD3D4D"/>
    <w:rsid w:val="00D53569"/>
    <w:rsid w:val="00D73DE8"/>
    <w:rsid w:val="00DC7A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ACA14-2FED-4C0A-9611-A7AB21CF0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CA2"/>
    <w:pPr>
      <w:ind w:left="720"/>
      <w:contextualSpacing/>
    </w:pPr>
  </w:style>
  <w:style w:type="character" w:customStyle="1" w:styleId="tlid-translation">
    <w:name w:val="tlid-translation"/>
    <w:basedOn w:val="DefaultParagraphFont"/>
    <w:rsid w:val="00A27CA2"/>
  </w:style>
  <w:style w:type="character" w:styleId="Hyperlink">
    <w:name w:val="Hyperlink"/>
    <w:basedOn w:val="DefaultParagraphFont"/>
    <w:uiPriority w:val="99"/>
    <w:semiHidden/>
    <w:unhideWhenUsed/>
    <w:rsid w:val="003D1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2920">
      <w:bodyDiv w:val="1"/>
      <w:marLeft w:val="0"/>
      <w:marRight w:val="0"/>
      <w:marTop w:val="0"/>
      <w:marBottom w:val="0"/>
      <w:divBdr>
        <w:top w:val="none" w:sz="0" w:space="0" w:color="auto"/>
        <w:left w:val="none" w:sz="0" w:space="0" w:color="auto"/>
        <w:bottom w:val="none" w:sz="0" w:space="0" w:color="auto"/>
        <w:right w:val="none" w:sz="0" w:space="0" w:color="auto"/>
      </w:divBdr>
    </w:div>
    <w:div w:id="12335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56880" TargetMode="External"/><Relationship Id="rId5" Type="http://schemas.openxmlformats.org/officeDocument/2006/relationships/hyperlink" Target="http://likumi.lv/ta/id/241854-noteikumi-par-kartibu-kada-ieperk-un-realize-melno-un-krasaino-metalu-atgriezumus-un-luznus-un-izsniedz-licences-metalu-atgriezumu-un-luznu-iepirksanai-latvija-ka-ari-par-valsts-nodevas-likmi-par-licenci-metalu-atgriezumu-un-luznu-iepirksanai-un-valsts-nodevas-maksasanas-kartib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2039</Words>
  <Characters>1163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Britse</dc:creator>
  <cp:keywords/>
  <dc:description/>
  <cp:lastModifiedBy>Kira Britse</cp:lastModifiedBy>
  <cp:revision>4</cp:revision>
  <dcterms:created xsi:type="dcterms:W3CDTF">2019-11-25T20:22:00Z</dcterms:created>
  <dcterms:modified xsi:type="dcterms:W3CDTF">2019-11-29T08:20:00Z</dcterms:modified>
</cp:coreProperties>
</file>